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645"/>
        <w:tblW w:w="0" w:type="auto"/>
        <w:tblBorders>
          <w:top w:val="single" w:sz="4" w:space="0" w:color="A59C87"/>
          <w:bottom w:val="single" w:sz="4" w:space="0" w:color="A59C87"/>
        </w:tblBorders>
        <w:tblCellMar>
          <w:top w:w="284" w:type="dxa"/>
          <w:left w:w="0" w:type="dxa"/>
          <w:bottom w:w="284" w:type="dxa"/>
          <w:right w:w="0" w:type="dxa"/>
        </w:tblCellMar>
        <w:tblLook w:val="04A0" w:firstRow="1" w:lastRow="0" w:firstColumn="1" w:lastColumn="0" w:noHBand="0" w:noVBand="1"/>
      </w:tblPr>
      <w:tblGrid>
        <w:gridCol w:w="1563"/>
        <w:gridCol w:w="8069"/>
      </w:tblGrid>
      <w:tr w:rsidR="006C461C" w:rsidRPr="000C4C63" w:rsidTr="000C4C63">
        <w:trPr>
          <w:trHeight w:val="266"/>
        </w:trPr>
        <w:tc>
          <w:tcPr>
            <w:tcW w:w="1563" w:type="dxa"/>
            <w:shd w:val="clear" w:color="auto" w:fill="auto"/>
          </w:tcPr>
          <w:p w:rsidR="006C461C" w:rsidRPr="000C4C63" w:rsidRDefault="00E2043E" w:rsidP="00420ABB">
            <w:pPr>
              <w:pStyle w:val="Heading1"/>
            </w:pPr>
            <w:r w:rsidRPr="000C4C63">
              <w:rPr>
                <w:noProof/>
                <w:lang w:eastAsia="en-GB"/>
              </w:rPr>
              <w:drawing>
                <wp:inline distT="0" distB="0" distL="0" distR="0">
                  <wp:extent cx="688340" cy="6883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inline>
              </w:drawing>
            </w:r>
          </w:p>
        </w:tc>
        <w:tc>
          <w:tcPr>
            <w:tcW w:w="8069" w:type="dxa"/>
            <w:shd w:val="clear" w:color="auto" w:fill="auto"/>
            <w:vAlign w:val="center"/>
          </w:tcPr>
          <w:p w:rsidR="006C461C" w:rsidRPr="000C4C63" w:rsidRDefault="00441B8D" w:rsidP="000C4C63">
            <w:pPr>
              <w:rPr>
                <w:rFonts w:ascii="Arial" w:hAnsi="Arial" w:cs="Arial"/>
                <w:color w:val="008CA0"/>
                <w:sz w:val="36"/>
                <w:szCs w:val="36"/>
              </w:rPr>
            </w:pPr>
            <w:r>
              <w:rPr>
                <w:rStyle w:val="Heading1Char"/>
              </w:rPr>
              <w:t>Personal data breach procedure</w:t>
            </w:r>
          </w:p>
        </w:tc>
      </w:tr>
    </w:tbl>
    <w:p w:rsidR="0027439D" w:rsidRDefault="0027439D"/>
    <w:p w:rsidR="00441B8D" w:rsidRPr="00441B8D" w:rsidRDefault="00441B8D" w:rsidP="00441B8D">
      <w:pPr>
        <w:pStyle w:val="Text"/>
        <w:rPr>
          <w:i/>
        </w:rPr>
      </w:pPr>
      <w:r w:rsidRPr="00441B8D">
        <w:t xml:space="preserve">This procedure is based on </w:t>
      </w:r>
      <w:hyperlink r:id="rId9" w:history="1">
        <w:r w:rsidRPr="00441B8D">
          <w:rPr>
            <w:color w:val="0092CF"/>
            <w:u w:val="single"/>
          </w:rPr>
          <w:t>guidance on personal data breaches</w:t>
        </w:r>
      </w:hyperlink>
      <w:r w:rsidRPr="00441B8D">
        <w:t xml:space="preserve"> produced by the ICO.</w:t>
      </w:r>
    </w:p>
    <w:p w:rsidR="00441B8D" w:rsidRPr="00441B8D" w:rsidRDefault="00441B8D" w:rsidP="00441B8D">
      <w:pPr>
        <w:numPr>
          <w:ilvl w:val="0"/>
          <w:numId w:val="5"/>
        </w:numPr>
        <w:spacing w:before="120" w:after="120"/>
        <w:rPr>
          <w:rFonts w:ascii="Arial" w:hAnsi="Arial" w:cs="Arial"/>
          <w:sz w:val="20"/>
          <w:szCs w:val="20"/>
        </w:rPr>
      </w:pPr>
      <w:r w:rsidRPr="00441B8D">
        <w:rPr>
          <w:rFonts w:ascii="Arial" w:hAnsi="Arial" w:cs="Arial"/>
          <w:sz w:val="20"/>
          <w:szCs w:val="20"/>
        </w:rPr>
        <w:t>On finding or causing a breach, or potential breach, the staff member or data processor must immediately notify the DPO</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The D</w:t>
      </w:r>
      <w:r w:rsidR="00E2043E">
        <w:rPr>
          <w:rFonts w:ascii="Arial" w:hAnsi="Arial" w:cs="Arial"/>
          <w:sz w:val="20"/>
          <w:szCs w:val="20"/>
        </w:rPr>
        <w:t xml:space="preserve">PO will investigate the </w:t>
      </w:r>
      <w:proofErr w:type="gramStart"/>
      <w:r w:rsidR="00E2043E">
        <w:rPr>
          <w:rFonts w:ascii="Arial" w:hAnsi="Arial" w:cs="Arial"/>
          <w:sz w:val="20"/>
          <w:szCs w:val="20"/>
        </w:rPr>
        <w:t xml:space="preserve">report, </w:t>
      </w:r>
      <w:r w:rsidRPr="00441B8D">
        <w:rPr>
          <w:rFonts w:ascii="Arial" w:hAnsi="Arial" w:cs="Arial"/>
          <w:sz w:val="20"/>
          <w:szCs w:val="20"/>
        </w:rPr>
        <w:t>and</w:t>
      </w:r>
      <w:proofErr w:type="gramEnd"/>
      <w:r w:rsidRPr="00441B8D">
        <w:rPr>
          <w:rFonts w:ascii="Arial" w:hAnsi="Arial" w:cs="Arial"/>
          <w:sz w:val="20"/>
          <w:szCs w:val="20"/>
        </w:rPr>
        <w:t xml:space="preserve"> determine whether a breach has occurred. To decide, the DPO will consider whether personal data has been accidentally or unlawfully: </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 xml:space="preserve">Lost </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Stolen</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Destroyed</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Altered</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Disclosed or made available where it should not have been</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Made available to unauthorised people</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The DPO will alert the headteacher and the chair of governors</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The DPO will make all reasonable efforts to contain and minimise the impact of the breach, assisted by relevant staff members or data processors where necessary. (Actions relevant to specific data types are set out at the end of this procedure)</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The DPO will assess the potential consequences, based on how serious they are, and how likely they are to happen</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Loss of control over their data</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 xml:space="preserve">Discrimination </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Identify theft or fraud</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Financial loss</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 xml:space="preserve">Unauthorised reversal of </w:t>
      </w:r>
      <w:proofErr w:type="spellStart"/>
      <w:r w:rsidRPr="00441B8D">
        <w:rPr>
          <w:rFonts w:ascii="Arial" w:hAnsi="Arial" w:cs="Arial"/>
          <w:sz w:val="20"/>
          <w:szCs w:val="20"/>
        </w:rPr>
        <w:t>pseudonymisation</w:t>
      </w:r>
      <w:proofErr w:type="spellEnd"/>
      <w:r w:rsidRPr="00441B8D">
        <w:rPr>
          <w:rFonts w:ascii="Arial" w:hAnsi="Arial" w:cs="Arial"/>
          <w:sz w:val="20"/>
          <w:szCs w:val="20"/>
        </w:rPr>
        <w:t xml:space="preserve"> (for example, key-coding) </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Damage to reputation</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Loss of confidentiality</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Any other significant economic or social disadvantage to the individual(s) concerned</w:t>
      </w:r>
    </w:p>
    <w:p w:rsidR="00441B8D" w:rsidRPr="00441B8D" w:rsidRDefault="00441B8D" w:rsidP="00441B8D">
      <w:pPr>
        <w:spacing w:before="120"/>
        <w:ind w:left="720"/>
        <w:rPr>
          <w:rFonts w:ascii="Arial" w:hAnsi="Arial" w:cs="Arial"/>
          <w:sz w:val="20"/>
          <w:szCs w:val="20"/>
        </w:rPr>
      </w:pPr>
      <w:r w:rsidRPr="00441B8D">
        <w:rPr>
          <w:rFonts w:ascii="Arial" w:hAnsi="Arial" w:cs="Arial"/>
          <w:sz w:val="20"/>
          <w:szCs w:val="20"/>
        </w:rPr>
        <w:t>If it’s likely that there will be a risk to people’s rights and freedoms, the DPO must notify the ICO.</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The DPO will document the decision (either way), in case it is challenged at a later date by the ICO or an individual affected by the breach. Documented decisions are store</w:t>
      </w:r>
      <w:r w:rsidR="00E2043E">
        <w:rPr>
          <w:rFonts w:ascii="Arial" w:hAnsi="Arial" w:cs="Arial"/>
          <w:sz w:val="20"/>
          <w:szCs w:val="20"/>
        </w:rPr>
        <w:t xml:space="preserve">d on the </w:t>
      </w:r>
      <w:proofErr w:type="gramStart"/>
      <w:r w:rsidR="00E2043E">
        <w:rPr>
          <w:rFonts w:ascii="Arial" w:hAnsi="Arial" w:cs="Arial"/>
          <w:sz w:val="20"/>
          <w:szCs w:val="20"/>
        </w:rPr>
        <w:t>schools</w:t>
      </w:r>
      <w:proofErr w:type="gramEnd"/>
      <w:r w:rsidR="00E2043E">
        <w:rPr>
          <w:rFonts w:ascii="Arial" w:hAnsi="Arial" w:cs="Arial"/>
          <w:sz w:val="20"/>
          <w:szCs w:val="20"/>
        </w:rPr>
        <w:t xml:space="preserve"> secure server.</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 xml:space="preserve">Where the ICO must be notified, the DPO will do this via the </w:t>
      </w:r>
      <w:hyperlink r:id="rId10" w:history="1">
        <w:r w:rsidRPr="00441B8D">
          <w:rPr>
            <w:rFonts w:ascii="Arial" w:hAnsi="Arial" w:cs="Arial"/>
            <w:color w:val="0092CF"/>
            <w:sz w:val="20"/>
            <w:szCs w:val="20"/>
            <w:u w:val="single"/>
          </w:rPr>
          <w:t>‘report a breach’ page of the ICO website</w:t>
        </w:r>
      </w:hyperlink>
      <w:r w:rsidRPr="00441B8D">
        <w:rPr>
          <w:rFonts w:ascii="Arial" w:hAnsi="Arial" w:cs="Arial"/>
          <w:sz w:val="20"/>
          <w:szCs w:val="20"/>
        </w:rPr>
        <w:t xml:space="preserve"> within 72 hours. As required, the DPO will set out: </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A description of the nature of the personal data breach including, where possible:</w:t>
      </w:r>
    </w:p>
    <w:p w:rsidR="00441B8D" w:rsidRPr="00441B8D" w:rsidRDefault="00441B8D" w:rsidP="00441B8D">
      <w:pPr>
        <w:numPr>
          <w:ilvl w:val="2"/>
          <w:numId w:val="6"/>
        </w:numPr>
        <w:spacing w:before="120" w:after="120"/>
        <w:rPr>
          <w:rFonts w:ascii="Arial" w:hAnsi="Arial" w:cs="Arial"/>
          <w:sz w:val="20"/>
          <w:szCs w:val="20"/>
        </w:rPr>
      </w:pPr>
      <w:r w:rsidRPr="00441B8D">
        <w:rPr>
          <w:rFonts w:ascii="Arial" w:hAnsi="Arial" w:cs="Arial"/>
          <w:sz w:val="20"/>
          <w:szCs w:val="20"/>
        </w:rPr>
        <w:lastRenderedPageBreak/>
        <w:t>The categories and approximate number of individuals concerned</w:t>
      </w:r>
    </w:p>
    <w:p w:rsidR="00441B8D" w:rsidRPr="00441B8D" w:rsidRDefault="00441B8D" w:rsidP="00441B8D">
      <w:pPr>
        <w:numPr>
          <w:ilvl w:val="2"/>
          <w:numId w:val="6"/>
        </w:numPr>
        <w:spacing w:before="120" w:after="120"/>
        <w:rPr>
          <w:rFonts w:ascii="Arial" w:hAnsi="Arial" w:cs="Arial"/>
          <w:sz w:val="20"/>
          <w:szCs w:val="20"/>
        </w:rPr>
      </w:pPr>
      <w:r w:rsidRPr="00441B8D">
        <w:rPr>
          <w:rFonts w:ascii="Arial" w:hAnsi="Arial" w:cs="Arial"/>
          <w:sz w:val="20"/>
          <w:szCs w:val="20"/>
        </w:rPr>
        <w:t>The categories and approximate number of personal data records concerned</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The name and contact details of the DPO</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A description of the likely consequences of the personal data breach</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 xml:space="preserve">A description of the measures that have been, or will be taken, to deal with the breach </w:t>
      </w:r>
      <w:r w:rsidR="00E2043E" w:rsidRPr="00441B8D">
        <w:rPr>
          <w:rFonts w:ascii="Arial" w:hAnsi="Arial" w:cs="Arial"/>
          <w:sz w:val="20"/>
          <w:szCs w:val="20"/>
        </w:rPr>
        <w:t>and mitigate</w:t>
      </w:r>
      <w:r w:rsidRPr="00441B8D">
        <w:rPr>
          <w:rFonts w:ascii="Arial" w:hAnsi="Arial" w:cs="Arial"/>
          <w:sz w:val="20"/>
          <w:szCs w:val="20"/>
        </w:rPr>
        <w:t xml:space="preserve"> any possible adverse effects on the individual(s) concerned</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The name and contact details of the DPO</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A description of the likely consequences of the personal data breach</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A description of the measures that have been, or will be, taken to deal with the data breach and mitigate any possible adverse effects on the individual(s) concerned</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The DPO will notify any relevant third parties who can help mitigate the loss to individuals – for example, the police, insurers, banks or credit card companies</w:t>
      </w:r>
    </w:p>
    <w:p w:rsidR="00441B8D" w:rsidRPr="00441B8D" w:rsidRDefault="00441B8D" w:rsidP="00441B8D">
      <w:pPr>
        <w:numPr>
          <w:ilvl w:val="0"/>
          <w:numId w:val="6"/>
        </w:numPr>
        <w:spacing w:before="120" w:after="120"/>
        <w:rPr>
          <w:rFonts w:ascii="Arial" w:hAnsi="Arial" w:cs="Arial"/>
          <w:sz w:val="20"/>
          <w:szCs w:val="20"/>
        </w:rPr>
      </w:pPr>
      <w:r w:rsidRPr="00441B8D">
        <w:rPr>
          <w:rFonts w:ascii="Arial" w:hAnsi="Arial" w:cs="Arial"/>
          <w:sz w:val="20"/>
          <w:szCs w:val="20"/>
        </w:rPr>
        <w:t xml:space="preserve">The DPO will document each breach, irrespective of whether it is reported to the ICO. For each breach, this record will include the: </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Facts and cause</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Effects</w:t>
      </w:r>
    </w:p>
    <w:p w:rsidR="00441B8D" w:rsidRPr="00441B8D" w:rsidRDefault="00441B8D" w:rsidP="00441B8D">
      <w:pPr>
        <w:numPr>
          <w:ilvl w:val="1"/>
          <w:numId w:val="6"/>
        </w:numPr>
        <w:spacing w:before="120" w:after="120"/>
        <w:rPr>
          <w:rFonts w:ascii="Arial" w:hAnsi="Arial" w:cs="Arial"/>
          <w:sz w:val="20"/>
          <w:szCs w:val="20"/>
        </w:rPr>
      </w:pPr>
      <w:r w:rsidRPr="00441B8D">
        <w:rPr>
          <w:rFonts w:ascii="Arial" w:hAnsi="Arial" w:cs="Arial"/>
          <w:sz w:val="20"/>
          <w:szCs w:val="20"/>
        </w:rPr>
        <w:t>Action taken to contain it and ensure it does not happen again (such as establishing more robust processes or providing further training for individuals)</w:t>
      </w:r>
    </w:p>
    <w:p w:rsidR="00441B8D" w:rsidRPr="00441B8D" w:rsidRDefault="00441B8D" w:rsidP="00441B8D">
      <w:pPr>
        <w:spacing w:before="120"/>
        <w:ind w:left="720"/>
        <w:rPr>
          <w:rFonts w:ascii="Arial" w:hAnsi="Arial" w:cs="Arial"/>
          <w:color w:val="ED7D31"/>
          <w:sz w:val="20"/>
          <w:szCs w:val="20"/>
        </w:rPr>
      </w:pPr>
      <w:r w:rsidRPr="00441B8D">
        <w:rPr>
          <w:rFonts w:ascii="Arial" w:hAnsi="Arial" w:cs="Arial"/>
          <w:sz w:val="20"/>
          <w:szCs w:val="20"/>
        </w:rPr>
        <w:t>Records of all breaches will be store</w:t>
      </w:r>
      <w:r w:rsidR="00E2043E">
        <w:rPr>
          <w:rFonts w:ascii="Arial" w:hAnsi="Arial" w:cs="Arial"/>
          <w:sz w:val="20"/>
          <w:szCs w:val="20"/>
        </w:rPr>
        <w:t xml:space="preserve">d on the </w:t>
      </w:r>
      <w:proofErr w:type="gramStart"/>
      <w:r w:rsidR="00E2043E">
        <w:rPr>
          <w:rFonts w:ascii="Arial" w:hAnsi="Arial" w:cs="Arial"/>
          <w:sz w:val="20"/>
          <w:szCs w:val="20"/>
        </w:rPr>
        <w:t>schools</w:t>
      </w:r>
      <w:proofErr w:type="gramEnd"/>
      <w:r w:rsidR="00E2043E">
        <w:rPr>
          <w:rFonts w:ascii="Arial" w:hAnsi="Arial" w:cs="Arial"/>
          <w:sz w:val="20"/>
          <w:szCs w:val="20"/>
        </w:rPr>
        <w:t xml:space="preserve"> secure server. </w:t>
      </w:r>
    </w:p>
    <w:p w:rsidR="00441B8D" w:rsidRPr="00441B8D" w:rsidRDefault="00441B8D" w:rsidP="00441B8D">
      <w:pPr>
        <w:numPr>
          <w:ilvl w:val="0"/>
          <w:numId w:val="7"/>
        </w:numPr>
        <w:spacing w:before="120" w:after="120"/>
        <w:rPr>
          <w:rFonts w:ascii="Arial" w:hAnsi="Arial" w:cs="Arial"/>
          <w:sz w:val="20"/>
          <w:szCs w:val="20"/>
        </w:rPr>
      </w:pPr>
      <w:r w:rsidRPr="00441B8D">
        <w:rPr>
          <w:rFonts w:ascii="Arial" w:hAnsi="Arial" w:cs="Arial"/>
          <w:sz w:val="20"/>
          <w:szCs w:val="20"/>
        </w:rPr>
        <w:t xml:space="preserve">The DPO and headteacher will meet to review what happened and how it can be stopped from happening again. This meeting will happen as soon as reasonably possible </w:t>
      </w:r>
    </w:p>
    <w:p w:rsidR="00441B8D" w:rsidRPr="00441B8D" w:rsidRDefault="00441B8D" w:rsidP="00441B8D">
      <w:pPr>
        <w:spacing w:before="120"/>
        <w:rPr>
          <w:rFonts w:ascii="Arial" w:hAnsi="Arial" w:cs="Arial"/>
          <w:b/>
          <w:sz w:val="22"/>
          <w:szCs w:val="22"/>
        </w:rPr>
      </w:pPr>
      <w:r w:rsidRPr="00441B8D">
        <w:rPr>
          <w:rFonts w:ascii="Arial" w:hAnsi="Arial" w:cs="Arial"/>
          <w:b/>
          <w:sz w:val="22"/>
          <w:szCs w:val="22"/>
        </w:rPr>
        <w:t>Actions to minimise the impact of data breaches</w:t>
      </w:r>
    </w:p>
    <w:p w:rsidR="00441B8D" w:rsidRPr="00441B8D" w:rsidRDefault="00441B8D" w:rsidP="00441B8D">
      <w:pPr>
        <w:spacing w:before="120"/>
        <w:rPr>
          <w:rFonts w:ascii="Arial" w:hAnsi="Arial" w:cs="Arial"/>
          <w:sz w:val="20"/>
          <w:szCs w:val="20"/>
        </w:rPr>
      </w:pPr>
      <w:r w:rsidRPr="00441B8D">
        <w:rPr>
          <w:rFonts w:ascii="Arial" w:hAnsi="Arial" w:cs="Arial"/>
          <w:sz w:val="20"/>
          <w:szCs w:val="20"/>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rsidR="00441B8D" w:rsidRPr="00E2043E" w:rsidRDefault="00441B8D" w:rsidP="00441B8D">
      <w:pPr>
        <w:spacing w:before="120" w:after="120"/>
        <w:rPr>
          <w:rFonts w:ascii="Arial" w:hAnsi="Arial"/>
          <w:color w:val="000000" w:themeColor="text1"/>
          <w:sz w:val="20"/>
        </w:rPr>
      </w:pPr>
      <w:r w:rsidRPr="00E2043E">
        <w:rPr>
          <w:rFonts w:ascii="Arial" w:hAnsi="Arial"/>
          <w:color w:val="000000" w:themeColor="text1"/>
          <w:sz w:val="20"/>
        </w:rPr>
        <w:t>Sensitive information being disclosed via email (including safeguarding records)</w:t>
      </w:r>
      <w:bookmarkStart w:id="0" w:name="_GoBack"/>
      <w:bookmarkEnd w:id="0"/>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t>If special category data (sensitive information) is accidentally made available via email to unauthorised individuals, the sender must attempt to recall the email as soon as they become aware of the error</w:t>
      </w:r>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t>Members of staff who receive personal data sent in error must alert the sender and the DPO as soon as they become aware of the error</w:t>
      </w:r>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t>If the sender is unavailable or cannot recall the email for any reason, the DPO will ask the ICT department to recall it</w:t>
      </w:r>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lastRenderedPageBreak/>
        <w:t>The DPO will ensure we receive a written response from all the individuals who received the data, confirming that they have complied with this request</w:t>
      </w:r>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t>The DPO will carry out an internet search to check that the information has not been made public; if it has, we will contact the publisher/website owner or administrator to request that the information is removed from their website and deleted</w:t>
      </w:r>
    </w:p>
    <w:p w:rsidR="00441B8D" w:rsidRPr="00E2043E" w:rsidRDefault="00441B8D" w:rsidP="00441B8D">
      <w:pPr>
        <w:spacing w:before="120" w:after="120"/>
        <w:rPr>
          <w:rFonts w:ascii="Arial" w:hAnsi="Arial"/>
          <w:color w:val="000000" w:themeColor="text1"/>
          <w:sz w:val="20"/>
        </w:rPr>
      </w:pPr>
      <w:r w:rsidRPr="00E2043E">
        <w:rPr>
          <w:rFonts w:ascii="Arial" w:hAnsi="Arial"/>
          <w:color w:val="000000" w:themeColor="text1"/>
          <w:sz w:val="20"/>
        </w:rPr>
        <w:t>Other types of breach that you might want to consider could include:</w:t>
      </w:r>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t>Details of pupil premium interventions for named children being published on the school website</w:t>
      </w:r>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t>Non-</w:t>
      </w:r>
      <w:proofErr w:type="spellStart"/>
      <w:r w:rsidRPr="00E2043E">
        <w:rPr>
          <w:rFonts w:ascii="Arial" w:hAnsi="Arial"/>
          <w:color w:val="000000" w:themeColor="text1"/>
          <w:sz w:val="20"/>
        </w:rPr>
        <w:t>anonymised</w:t>
      </w:r>
      <w:proofErr w:type="spellEnd"/>
      <w:r w:rsidRPr="00E2043E">
        <w:rPr>
          <w:rFonts w:ascii="Arial" w:hAnsi="Arial"/>
          <w:color w:val="000000" w:themeColor="text1"/>
          <w:sz w:val="20"/>
        </w:rPr>
        <w:t xml:space="preserve"> pupil exam results or staff pay information being shared with governors</w:t>
      </w:r>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t>A school laptop containing non-encrypted sensitive personal data being stolen or hacked</w:t>
      </w:r>
    </w:p>
    <w:p w:rsidR="00441B8D" w:rsidRPr="00E2043E" w:rsidRDefault="00441B8D" w:rsidP="00441B8D">
      <w:pPr>
        <w:numPr>
          <w:ilvl w:val="0"/>
          <w:numId w:val="7"/>
        </w:numPr>
        <w:spacing w:before="120" w:after="120"/>
        <w:rPr>
          <w:rFonts w:ascii="Arial" w:hAnsi="Arial"/>
          <w:color w:val="000000" w:themeColor="text1"/>
          <w:sz w:val="20"/>
        </w:rPr>
      </w:pPr>
      <w:r w:rsidRPr="00E2043E">
        <w:rPr>
          <w:rFonts w:ascii="Arial" w:hAnsi="Arial"/>
          <w:color w:val="000000" w:themeColor="text1"/>
          <w:sz w:val="20"/>
        </w:rPr>
        <w:t xml:space="preserve">The school’s cashless payment provider being </w:t>
      </w:r>
      <w:proofErr w:type="gramStart"/>
      <w:r w:rsidRPr="00E2043E">
        <w:rPr>
          <w:rFonts w:ascii="Arial" w:hAnsi="Arial"/>
          <w:color w:val="000000" w:themeColor="text1"/>
          <w:sz w:val="20"/>
        </w:rPr>
        <w:t>hacked</w:t>
      </w:r>
      <w:proofErr w:type="gramEnd"/>
      <w:r w:rsidRPr="00E2043E">
        <w:rPr>
          <w:rFonts w:ascii="Arial" w:hAnsi="Arial"/>
          <w:color w:val="000000" w:themeColor="text1"/>
          <w:sz w:val="20"/>
        </w:rPr>
        <w:t xml:space="preserve"> and parents’ financial details stolen</w:t>
      </w: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Default="00441B8D" w:rsidP="00027DCA">
      <w:pPr>
        <w:pStyle w:val="Text"/>
        <w:rPr>
          <w:i/>
        </w:rPr>
      </w:pPr>
    </w:p>
    <w:p w:rsidR="00441B8D" w:rsidRPr="00027DCA" w:rsidRDefault="00441B8D" w:rsidP="00027DCA">
      <w:pPr>
        <w:pStyle w:val="Text"/>
        <w:rPr>
          <w:i/>
        </w:rPr>
      </w:pPr>
      <w:r>
        <w:rPr>
          <w:i/>
        </w:rPr>
        <w:br/>
      </w:r>
    </w:p>
    <w:sectPr w:rsidR="00441B8D" w:rsidRPr="00027DCA" w:rsidSect="00CC55B7">
      <w:headerReference w:type="even" r:id="rId11"/>
      <w:headerReference w:type="default" r:id="rId12"/>
      <w:footerReference w:type="default" r:id="rId13"/>
      <w:headerReference w:type="first" r:id="rId14"/>
      <w:footerReference w:type="first" r:id="rId15"/>
      <w:pgSz w:w="11900" w:h="16840"/>
      <w:pgMar w:top="2552"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A4A" w:rsidRDefault="00776A4A" w:rsidP="006133C0">
      <w:r>
        <w:separator/>
      </w:r>
    </w:p>
  </w:endnote>
  <w:endnote w:type="continuationSeparator" w:id="0">
    <w:p w:rsidR="00776A4A" w:rsidRDefault="00776A4A"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0" w:type="dxa"/>
        <w:right w:w="0" w:type="dxa"/>
      </w:tblCellMar>
      <w:tblLook w:val="04A0" w:firstRow="1" w:lastRow="0" w:firstColumn="1" w:lastColumn="0" w:noHBand="0" w:noVBand="1"/>
    </w:tblPr>
    <w:tblGrid>
      <w:gridCol w:w="9632"/>
    </w:tblGrid>
    <w:tr w:rsidR="006C461C" w:rsidRPr="000C4C63" w:rsidTr="000C4C63">
      <w:tc>
        <w:tcPr>
          <w:tcW w:w="9848" w:type="dxa"/>
          <w:tcBorders>
            <w:top w:val="single" w:sz="4" w:space="0" w:color="A59C87"/>
            <w:left w:val="nil"/>
            <w:bottom w:val="nil"/>
            <w:right w:val="nil"/>
          </w:tcBorders>
          <w:shd w:val="clear" w:color="auto" w:fill="auto"/>
        </w:tcPr>
        <w:p w:rsidR="006C461C" w:rsidRPr="000C4C63" w:rsidRDefault="006C461C" w:rsidP="000C4C63">
          <w:pPr>
            <w:pStyle w:val="Footer"/>
            <w:spacing w:after="120"/>
            <w:jc w:val="both"/>
            <w:rPr>
              <w:rFonts w:ascii="Arial" w:hAnsi="Arial" w:cs="Arial"/>
              <w:color w:val="A59C87"/>
              <w:sz w:val="17"/>
              <w:szCs w:val="17"/>
            </w:rPr>
          </w:pPr>
        </w:p>
      </w:tc>
    </w:tr>
  </w:tbl>
  <w:p w:rsidR="006C461C" w:rsidRPr="006133C0" w:rsidRDefault="006C461C"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1C" w:rsidRPr="00B575F5" w:rsidRDefault="006C461C"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A4A" w:rsidRDefault="00776A4A" w:rsidP="006133C0">
      <w:r>
        <w:separator/>
      </w:r>
    </w:p>
  </w:footnote>
  <w:footnote w:type="continuationSeparator" w:id="0">
    <w:p w:rsidR="00776A4A" w:rsidRDefault="00776A4A"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1C" w:rsidRDefault="00E2043E">
    <w:pPr>
      <w:pStyle w:val="Header"/>
    </w:pPr>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A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6028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1C" w:rsidRDefault="006C461C">
    <w:pPr>
      <w:pStyle w:val="Header"/>
    </w:pPr>
  </w:p>
  <w:p w:rsidR="006C461C" w:rsidRDefault="006C461C">
    <w:pPr>
      <w:pStyle w:val="Header"/>
    </w:pPr>
  </w:p>
  <w:p w:rsidR="006C461C" w:rsidRDefault="006C4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43E" w:rsidRDefault="00E2043E">
    <w:pPr>
      <w:pStyle w:val="Header"/>
    </w:pPr>
    <w:r>
      <w:rPr>
        <w:noProof/>
      </w:rPr>
      <w:drawing>
        <wp:anchor distT="0" distB="0" distL="114300" distR="114300" simplePos="0" relativeHeight="251658240" behindDoc="0" locked="0" layoutInCell="1" allowOverlap="1" wp14:anchorId="49455505">
          <wp:simplePos x="0" y="0"/>
          <wp:positionH relativeFrom="column">
            <wp:posOffset>5381625</wp:posOffset>
          </wp:positionH>
          <wp:positionV relativeFrom="paragraph">
            <wp:posOffset>-106680</wp:posOffset>
          </wp:positionV>
          <wp:extent cx="814705" cy="814705"/>
          <wp:effectExtent l="0" t="0" r="0" b="0"/>
          <wp:wrapThrough wrapText="bothSides">
            <wp:wrapPolygon edited="0">
              <wp:start x="0" y="0"/>
              <wp:lineTo x="0" y="21213"/>
              <wp:lineTo x="21213" y="21213"/>
              <wp:lineTo x="2121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stretch>
                    <a:fillRect/>
                  </a:stretch>
                </pic:blipFill>
                <pic:spPr>
                  <a:xfrm>
                    <a:off x="0" y="0"/>
                    <a:ext cx="814705" cy="814705"/>
                  </a:xfrm>
                  <a:prstGeom prst="rect">
                    <a:avLst/>
                  </a:prstGeom>
                </pic:spPr>
              </pic:pic>
            </a:graphicData>
          </a:graphic>
          <wp14:sizeRelH relativeFrom="page">
            <wp14:pctWidth>0</wp14:pctWidth>
          </wp14:sizeRelH>
          <wp14:sizeRelV relativeFrom="page">
            <wp14:pctHeight>0</wp14:pctHeight>
          </wp14:sizeRelV>
        </wp:anchor>
      </w:drawing>
    </w:r>
  </w:p>
  <w:p w:rsidR="006C461C" w:rsidRPr="00E2043E" w:rsidRDefault="00E2043E">
    <w:pPr>
      <w:pStyle w:val="Header"/>
      <w:rPr>
        <w:rFonts w:asciiTheme="minorHAnsi" w:hAnsiTheme="minorHAnsi" w:cstheme="minorHAnsi"/>
      </w:rPr>
    </w:pPr>
    <w:r w:rsidRPr="00E2043E">
      <w:rPr>
        <w:rFonts w:asciiTheme="minorHAnsi" w:hAnsiTheme="minorHAnsi" w:cstheme="minorHAnsi"/>
      </w:rPr>
      <w:t xml:space="preserve">Leedon Lower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8D"/>
    <w:rsid w:val="000155FA"/>
    <w:rsid w:val="00027DCA"/>
    <w:rsid w:val="00066672"/>
    <w:rsid w:val="000C4C63"/>
    <w:rsid w:val="000D0F9E"/>
    <w:rsid w:val="00110CB6"/>
    <w:rsid w:val="001221B0"/>
    <w:rsid w:val="00147B73"/>
    <w:rsid w:val="001A1A7C"/>
    <w:rsid w:val="00246B2D"/>
    <w:rsid w:val="002507A1"/>
    <w:rsid w:val="00251BB5"/>
    <w:rsid w:val="0027439D"/>
    <w:rsid w:val="002E6CE5"/>
    <w:rsid w:val="002F0D54"/>
    <w:rsid w:val="003245BD"/>
    <w:rsid w:val="00330513"/>
    <w:rsid w:val="00370493"/>
    <w:rsid w:val="0038214A"/>
    <w:rsid w:val="003B4094"/>
    <w:rsid w:val="003F7887"/>
    <w:rsid w:val="004043B7"/>
    <w:rsid w:val="00420ABB"/>
    <w:rsid w:val="004403E9"/>
    <w:rsid w:val="00441B8D"/>
    <w:rsid w:val="00494761"/>
    <w:rsid w:val="004A5B03"/>
    <w:rsid w:val="004B7550"/>
    <w:rsid w:val="004C6DF3"/>
    <w:rsid w:val="004E6522"/>
    <w:rsid w:val="004F0B74"/>
    <w:rsid w:val="00514384"/>
    <w:rsid w:val="00544784"/>
    <w:rsid w:val="006133C0"/>
    <w:rsid w:val="0064312F"/>
    <w:rsid w:val="00646650"/>
    <w:rsid w:val="006850DB"/>
    <w:rsid w:val="006C461C"/>
    <w:rsid w:val="006C634F"/>
    <w:rsid w:val="00712455"/>
    <w:rsid w:val="007614CB"/>
    <w:rsid w:val="00776A4A"/>
    <w:rsid w:val="007A2E6E"/>
    <w:rsid w:val="007A3014"/>
    <w:rsid w:val="007A4B89"/>
    <w:rsid w:val="007B3C28"/>
    <w:rsid w:val="00821C24"/>
    <w:rsid w:val="00870AC0"/>
    <w:rsid w:val="0087137E"/>
    <w:rsid w:val="00894E97"/>
    <w:rsid w:val="008A6DEE"/>
    <w:rsid w:val="009103A8"/>
    <w:rsid w:val="00992974"/>
    <w:rsid w:val="009B3211"/>
    <w:rsid w:val="00A00F4F"/>
    <w:rsid w:val="00A50AF9"/>
    <w:rsid w:val="00A9661E"/>
    <w:rsid w:val="00A969C3"/>
    <w:rsid w:val="00AD06DB"/>
    <w:rsid w:val="00B00783"/>
    <w:rsid w:val="00B13E20"/>
    <w:rsid w:val="00B16CE6"/>
    <w:rsid w:val="00B251BF"/>
    <w:rsid w:val="00B37775"/>
    <w:rsid w:val="00B47450"/>
    <w:rsid w:val="00B575F5"/>
    <w:rsid w:val="00BE3CF4"/>
    <w:rsid w:val="00BF208F"/>
    <w:rsid w:val="00C0285E"/>
    <w:rsid w:val="00C455AD"/>
    <w:rsid w:val="00CC55B7"/>
    <w:rsid w:val="00D27697"/>
    <w:rsid w:val="00D336DE"/>
    <w:rsid w:val="00D43E87"/>
    <w:rsid w:val="00D63369"/>
    <w:rsid w:val="00DC393A"/>
    <w:rsid w:val="00DF3F23"/>
    <w:rsid w:val="00E2019C"/>
    <w:rsid w:val="00E2043E"/>
    <w:rsid w:val="00E26BA0"/>
    <w:rsid w:val="00E3184D"/>
    <w:rsid w:val="00E64FCF"/>
    <w:rsid w:val="00EC177F"/>
    <w:rsid w:val="00ED4FCC"/>
    <w:rsid w:val="00F00483"/>
    <w:rsid w:val="00F007EA"/>
    <w:rsid w:val="00F67423"/>
    <w:rsid w:val="00FD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DF0E74"/>
  <w15:chartTrackingRefBased/>
  <w15:docId w15:val="{3D29DB41-5CDB-7E46-8611-76E15F74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420ABB"/>
    <w:rPr>
      <w:rFonts w:ascii="Arial" w:hAnsi="Arial"/>
      <w:b/>
    </w:rPr>
  </w:style>
  <w:style w:type="character" w:customStyle="1" w:styleId="HeadingChar">
    <w:name w:val="Heading Char"/>
    <w:link w:val="Heading"/>
    <w:rsid w:val="00420ABB"/>
    <w:rPr>
      <w:rFonts w:ascii="Arial" w:hAnsi="Arial"/>
      <w:b/>
      <w:sz w:val="24"/>
      <w:szCs w:val="24"/>
      <w:lang w:val="en-US" w:eastAsia="en-US"/>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co.org.uk/for-organisations/report-a-breach/" TargetMode="Externa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personal-data-breach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K:\Content%20team\KeyDocs\KSL%20templates\KeyDoc%20template%20-%20blank%20proforma%20-%20portrait%20%20(S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26D5-A3F3-054E-A5AC-80C8B0C3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K:\Content team\KeyDocs\KSL templates\KeyDoc template - blank proforma - portrait  (SL).dot</Template>
  <TotalTime>3</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6351</CharactersWithSpaces>
  <SharedDoc>false</SharedDoc>
  <HLinks>
    <vt:vector size="30" baseType="variant">
      <vt:variant>
        <vt:i4>589854</vt:i4>
      </vt:variant>
      <vt:variant>
        <vt:i4>6</vt:i4>
      </vt:variant>
      <vt:variant>
        <vt:i4>0</vt:i4>
      </vt:variant>
      <vt:variant>
        <vt:i4>5</vt:i4>
      </vt:variant>
      <vt:variant>
        <vt:lpwstr>https://ico.org.uk/for-organisations/report-a-breach/</vt:lpwstr>
      </vt:variant>
      <vt:variant>
        <vt:lpwstr/>
      </vt:variant>
      <vt:variant>
        <vt:i4>1703958</vt:i4>
      </vt:variant>
      <vt:variant>
        <vt:i4>3</vt:i4>
      </vt:variant>
      <vt:variant>
        <vt:i4>0</vt:i4>
      </vt:variant>
      <vt:variant>
        <vt:i4>5</vt:i4>
      </vt:variant>
      <vt:variant>
        <vt:lpwstr>https://ico.org.uk/for-organisations/guide-to-the-general-data-protection-regulation-gdpr/personal-data-breaches/</vt:lpwstr>
      </vt:variant>
      <vt:variant>
        <vt:lpwstr/>
      </vt:variant>
      <vt:variant>
        <vt:i4>6815791</vt:i4>
      </vt:variant>
      <vt:variant>
        <vt:i4>6</vt:i4>
      </vt:variant>
      <vt:variant>
        <vt:i4>0</vt:i4>
      </vt:variant>
      <vt:variant>
        <vt:i4>5</vt:i4>
      </vt:variant>
      <vt:variant>
        <vt:lpwstr>https://schoolleaders.thekeysupport.com/static/terms-of-use</vt:lpwstr>
      </vt:variant>
      <vt:variant>
        <vt:lpwstr/>
      </vt:variant>
      <vt:variant>
        <vt:i4>2490488</vt:i4>
      </vt:variant>
      <vt:variant>
        <vt:i4>3</vt:i4>
      </vt:variant>
      <vt:variant>
        <vt:i4>0</vt:i4>
      </vt:variant>
      <vt:variant>
        <vt:i4>5</vt:i4>
      </vt:variant>
      <vt:variant>
        <vt:lpwstr>http://schoolleaders.thekeysupport.com/</vt:lpwstr>
      </vt:variant>
      <vt:variant>
        <vt:lpwstr/>
      </vt:variant>
      <vt:variant>
        <vt:i4>2490488</vt:i4>
      </vt:variant>
      <vt:variant>
        <vt:i4>0</vt:i4>
      </vt:variant>
      <vt:variant>
        <vt:i4>0</vt:i4>
      </vt:variant>
      <vt:variant>
        <vt:i4>5</vt:i4>
      </vt:variant>
      <vt:variant>
        <vt:lpwstr>http://schoolleaders.thekeysupport.com/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Walton</dc:creator>
  <cp:keywords/>
  <cp:lastModifiedBy>Richard</cp:lastModifiedBy>
  <cp:revision>2</cp:revision>
  <cp:lastPrinted>2015-03-11T12:50:00Z</cp:lastPrinted>
  <dcterms:created xsi:type="dcterms:W3CDTF">2018-05-23T10:03:00Z</dcterms:created>
  <dcterms:modified xsi:type="dcterms:W3CDTF">2018-05-23T10:03:00Z</dcterms:modified>
</cp:coreProperties>
</file>